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«ТрансСинтез» (поставщик)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«Деревообрабатывающий комбинат «Калевала» (покупателя) по договору поставки от 01.01.2016 № 66 25 133 652 рублей 35 копеек задолженности и 64 340 664 рублей 73 копеек неустойки за просрочку исполнения обязательства по оплате поставленной продукции за период с 06.11.2016 по 04.04.2020, с начислением неустойки с 05.04.2020 по дату фактического исполнения обязательства. Решением Арбитражного суда города Москвы от 07.07.2020 иск удовлетворен. Постановлением Девятого арбитражного апелляционного суда от 20.11.2020 решение суда первой инстанции изменено в части взыскания неустойки, сниженной до 17 548 179 рублей 42 копеек, в остальной части решение суда первой инстанции оставлено без изменения. 2 Арбитражный суд Московского округа постановлением от 01.03.2021 постановление суда апелляционной инстанции оставил без изменения. Акционерное общество «ТрансСинтез»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Изменяя решение суда первой инстанции, суд апелляционной инстанции при рассмотрении ходатайства ответчика о снижении размера неустойки на основании статьи 333 Гражданского кодекса Российской Федерации руководствовался разъяснениями Пленума Верховного Суда Российской Федерации, изложенными в пунктах 73, 75, 77 постановления от 24.03.2016 № 7 «О применении судами некоторых положений Гражданского кодекса Российской Федерации об ответственности за нарушение обязательств», учел компенсационную природу неустойки, недопущение превращения института неустойки в способ обогащения кредитора вопреки ее компенсационной функции, баланс между применяемой мерой ответственности и последствиями ненадлежащего исполнения ответчиком обязательства.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3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«ТрансСинтез»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