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недействительной сделкой договора купли-продажи недвижимости от 25.06.2015, заключенного между должником и Яковлевой Ольгой Николаевной; применении последствий недействительности сделки в виде возврата в конкурсную массу должника 28 000 000 рублей. Определением Арбитражного суда Алтайского края от 19.10.2020, оставленным без изменения постановлением Седьмого арбитражного апелляционного суда от 25.12.2020, заявление удовлетворено. Постановлением Арбитражного суда Западно-Сибирского округа от 31.03.2021 данные судебные акты отменены, обособленный спор направлен на новое рассмотрение в Арбитражный суд Алтайского края. В кассационной жалобе, поданной в Верховный Суд Российской Федерации, заявитель просит отменить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обособленный спор на новое рассмотрение, суд округа, руководствуясь положениями статей 167, 170 Гражданского кодекса Российской Федерации, пункта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 из того, что они вынесены без полного исследования всех доказательств и установления имеющих существенное значение для его правильного разрешения обстоятельств, в том числе, вне оценки приводимых сторонами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Фокина Дмитрия Михайловича Макарову Валерию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