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ОПРЕДЕЛЕНИ Е № 308-ЭС21-8329 г. Москва 21 июня 2021 г. Судья Верховного Суда Российской Федерации Ксенофонтова Н.А., изучив кассационную жалобу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27.07.2020, оставленным без изменения постановлением Пятнадцатого арбитражного апелляционного суда от 21.10.2020 и постановлением Арбитражного суда Северо-Кавказского округа от 17.02.2021, иск удовлетворен частично. В кассационной жалобе администрация просит об отмене судебных актов, ссылаясь на недоказанность условий для взыскания убытков с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необходимые в силу статей 15, 1064 Гражданского кодекса Российской Федерации условия для взыскания убытков и влияющие на освобождение от ответственности и ее размер, установлены судами в соответствии с имеющейся компетенцией, и иная их оценка заявителем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город Краснодар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