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июня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«Урало-Сибирская химическая компания» обратилось в Арбитражный суд Свердловской области с иском, уточненным в порядке, предусмотренном статьей 49 Арбитражного процессуального кодекса Российской Федерации, о взыскании с акционерного общества работников «Туринский Целлюлозно-Бумажный завод» 1 502 994 рублей 09 копеек упущенной выгоды. Решением Арбитражного суда Свердловской области от 08.09.2020 иск удовлетворен. Постановлением Семнадцатого арбитражного апелляционного суда от 11.12.2020 решение суда отменено и в удовлетворении иска отказано. Арбитражный суд Уральского округа постановлением от 11.03.2021 постановление суда апелляционной инстанции оставил без изменения. Общество с ограниченной ответственностью «Урало-Сибирская химическая компания» обратилось в Судебную коллегию по экономическим спорам Верховного Суда Российской Федерации с кассационной жалобой на 2 постановления суда апелляционной инстанции и окружного суда,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Отказывая в удовлетворении иска, суд апелляционной инстанции руководствовался положениями статей 15, 393 Гражданского кодекса Российской Федерации и исходил из недоказанности истцом непосредственной причинно-следственной связи между неисполнением ответчиком договорных обязательств и неполучением истцом дохода от размещения свободных денежных средств на депозитных счетах в кредитной организации. Проверив в порядке статей 286, 287 Арбитражного процессуального кодекса Российской Федерации законность судебного акта, правильность применения норм материального и процессуального права при рассмотрении дела, окружной суд пришел к выводу о соответствии выводов, содержащихся в постановлении суда апелляционной инстанции, установленным фактическим обстоятельствам и имеющимся в деле доказательствам. Несогласие заявителя кассационной жалобы с произведенной судами оценкой представленных доказательств и обстоятельств дела не свидетельствует о неправильном применении судами норм материального и процессуального права, не подтверждает существенных нарушений норм материального права и норм процессуального права, повлиявших на исход дела, и не является достаточным основанием для пересмотра судебных актов в кассационном порядке. По существу доводы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Нарушений или неправильного применения норм процессуального права,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актов, не установлено. 3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«Урало-Сибирская химическая компания»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