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22.10.2020, оставленным без изменения постановлением Девятого арбитражного апелляционного суда от 29.12.2020, исковые требования удовлетворены. Арбитражный суд Московского округа постановлением от 17.03.2021 решение от 22.10.2020 и постановление Девятого арбитражного апелляционного суда от 29.12.2020 оставил без изменения. В кассационной жалобе общество «Линдор» просит об отмене судебных актов, ссылаясь на отсутствие соглашения о коммерческом кредитовании и несоразмерность заявленной суммы нарушению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исходя жалобы не усматривается. Суды установили, что ответчик, подписывая договоры, присоединился к действующим у истца правилам и порядку работы по договорам поставки, предусматривающим возможность оплаты товара с отсрочкой платежа (коммерческий кредит) на условиях договора и правил. Проценты за пользование коммерческим кредитом не являются ответственностью и не подлежат уменьшению в порядке статьи 333, пункта 6 статьи 395 Гражданского кодекса Российской Федерации. Судебные акты соответствуют договорам и не находятся в противоречии с судебными актами по обозначенным заявителем делам, принятым об исполнении договоров иного содержания.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«Линдор»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