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21.09.2020, оставленным без изменения постановлением Шестнадцатого арбитражного апелляционного суда от 17.12.2020 и постановлением Арбитражного суда Северо-Кавказского округа от 18.03.2021, иск удовлетворен. В кассационной жалобе общество «Югстройсервис» просит отменить судебные акты, ссылаясь на игнорирование достижения цели договора не вследствие действий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истцом обязательств по договору от 15.07.2019 № 1901, являющееся основанием возникновения встречной обязанности по оплате услуг, которую обязали ответчика исполнить в силу статей 395, 779, 781 Гражданского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