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07.10.2020, оставленным без изменения постановлением Девятого арбитражного апелляционного суда от 09.12.2020, иск удовлетворен. Арбитражный суд Московского округа постановлением от 26.02.2021 отменил решение от 07.10.2020 и постановление Девятого арбитражного апелляционного суда от 09.12.2020 в связи с неустановлением необходимых для разрешения дела обстоятельств и направил дело на новое рассмотрение в Арбитражный суд города Москвы. В кассационной жалобе компания просит об отмене постановления окружного суда, ссылаясь на отсутствие оснований для отмены судебных актов нижестоящих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отменил судебные акты нижестоящих инстанций в соответствии с основаниями и пределами полномочий, установленными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«ТопСпорт»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