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01.10.2020, оставленным без изменения постановлением Тринадцатого арбитражного апелляционного суда от 18.01.2021 и постановлением Арбитражного суда Северо-Западного округа от 18.03.2021, производство по делу прекращено в связи с ликвидацией общества «Форестер». В кассационной жалобе Степанов Ю.Е. просит об отмене судебных актов, ссылаясь на отсутствие препятствий для рассмотрения дела по существу в отношении действующего ответчика, являющегося правопреемником ликвидированного.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не установили основания, при котором требование о признании недействительной сделки с участием ликвидированного лица подлежит рассмотрению по существу, поэтому правомерно применили пункт 5 части 1 статьи 150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Степанову Юрию Евгеньевичу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