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10.07.2020, оставленным без изменения постановлением Девятого арбитражного апелляционного суда от 03.11.2020 и постановлением Арбитражного суда Московского округа от 24.02.2021, иск удовлетворен. В кассационной жалобе общество с ограниченной ответственностью «Совтрансавто Логистика Рус» просит об отмене судебных актов, ссылаясь на игнорирование ограничения ответственности перевозчика.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предел ответственности экспедитора (ответчика) за утраченный груз согласован в договоре от 01.11.2018 № 01/11-МН и определен стоимостью груза, указанной в сопроводительных или платежных документах на груз, каковая и была взыскана судами.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«Совтрансавто Логистика Рус»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"Детский мир" (подробнее) Ответчики: ООО "СОВТРАНСАВТО ЛОГИСТИКА РУС"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