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03.07.2020, оставленным без изменения постановлениями Тринадцатого арбитражного апелляционного суда от 12.10.2020 и Арбитражного суда Северо-Западного округа от 05.02.2021, заявленные требования удовлетворены. 2 В кассационных жалобах общество и управление ставят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судебных актов по материалам истребованного дела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решение закупочной комиссии учреждения (организатор торгов) об отказе от заключения договора на поставку осветительного оборудования с обществом по результатам проведения конкурса в электронной форме, а также об осуществлении закупки повторно на основании пункта 12.1.40 Положения о закупках товаров, работ, услуг учреждения в редакции от 25.06.2019 (далее – Положение о закупках) в связи с тем, что по результатам рассмотрения заявок только одна заявка признана соответствующей требованиям Положения о закупках и конкурсной документации, антимонопольным органом принято решение. Управлением жалоба общества признана обоснованной, в действиях закупочной комиссии организатора торгов установлено нарушение пункта 2 части 1 статьи 3, части 15 статьи 3.2 Федерального закона от 18.07.2011 № 223-ФЗ «О закупках товаров, работ, услуг отдельными видами юридических лиц» (далее — Закон о закупках). Предписанием антимонопольного органа на организатора торгов и его закупочную комиссию возложена обязанность по устранению выявленных нарушений путем отмены итогового протокола по закупке, повторного подведения итогов и завершения процедуры закупки. Считая ненормативные правовые акты антимонопольного органа недействительными, учреждение обратилось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447 Гражданского кодекса Российской Федерации, части 1 статьи 3, частей 15, 16 статьи 3.2 Закона о закупках, Положением о закупках, суды признали решение и предписание управления незаконными. 3 Судебные инстанции исходили из наличия у учреждения правовых оснований для принятия решения об осуществлении повторной закупки. Доводы, изложенные в кассационных жалобах общества и управления, не свидетельствуют о наличии существенных нарушений норм материального и (или) процессуального права, повлиявших на исход дела, и не могут служить основанием для отмены обжалуемых судебных актов. На основании изложенного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«Континент» и Управлению Федеральной антимонопольной службы по Санкт-Петербургу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