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02.07.2019 заявленные требования удовлетворены частично, предписание от 31.10.2018 № 149 признано недействительным. В удовлетворении остальной части требований отказано. Шамрова Е.В. в порядке статьи 42 Арбитражного процессуального кодекса Российской Федерации обратилась с апелляционной жалобой на решение суда первой инстанции, заявив ходатайство о восстановлении срока на подачу жалобы. Определением Второго арбитражного апелляционного суда от 24.02.2021 апелляционная жалоба возвращена Шамровой Е.В. в связи с отказом в 2 удовлетворении ходатайства о восстановлении пропущенного срока подачи апелляционной жалобы. Постановлением Арбитражного суда Волго-Вятского округа от 07.04.2021 определение суда апелляционной инстанции оставлено без изменения. В кассационной жалобе Шамрова Е.В. ставит вопрос об отмене принятых по делу судебных актов, ссылаясь на существенные нарушения судами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обоснование заявленного ходатайства о восстановлении пропущенного срока подачи апелляционной жалобы Шамрова Е.В. указала на неосведомленность о принятом судом первой инстанции решении, о котором заявитель узнала из апелляционной жалобы общества от 30.11.2020 № 904 на решение Сосногорского городского суда Республики Коми от 15.10.2020 по делу № 2-152/2020. Отказывая в удовлетворении ходатайства и возвращая апелляционную жалобу, суд апелляционной инстанции исходил из того, что обратившись с жалобой 05.02.2021, заявитель пропустил установленный законодательством срок на ее подачу. При этом суд апелляционной инстанции исчислил общий месячный срок на подачу апелляционной жалобы с 30.11.2020 (день, когда заявитель узнал о нарушении своих прав или законных интересов обжалуемым судебным актом) и установил отсутствие обстоятельств, свидетельствующих о наличии исключительных и непреодолимых препятствий для подачи апелляционной жалобы в установленный законом срок (с 30.11.2020 по 30.12.2020). С указанными выводами согласился суд округа. Оснований для иных выводов не имеется. 3 Доводы жалобы, которые бы свидетельствовали о наличии в обжалуемых судебных актах существенных нарушений норм процессуального права, повлиявших на исход дела, не приведены, в связи с чем основания для передачи жалобы для рассмотрения в судебном заседании отсутствуют.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Шамровой Елене Валентиновне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