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15.06.2020, оставленным без изменения постановлениями Тринадцатого арбитражного апелляционного суда от 12.10.2020 и Арбитражного суда Северо-Западного округа от 11.03.2021, в удовлетворении иска отказано. В кассационной жалобе, поданной в Верховный Суд Российской Федерации, учреждение ставит вопрос об отмене принятых по делу судебных 2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Основанием для обращения в арбитражный суд с настоящим иском послужило нарушение обществом срока исполнения обязательств по государственному контракту от 10.08.2015 на выполнение строительных работ. Оценив представленные в материалы дела доказательства, суды, руководствуясь положениями статей 309, 310, 330, 405, 407, 708, 718, 740, 747,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 учетом обстоятельств, установленных по результатам рассмотрения дела № А56-135045/2018, пришли к выводу об отсутствии оснований для возложения на ответчика гражданско-правовой ответственности в виде выплаты неустойки. Судебные инстанции исходили из отсутствия вины общества в просрочке выполнения работ по контракту, установив, что просрочка допущена в 3 результате ненадлежащего исполнения учреждением своих обязательств по контракту.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оценку. С учетом изложенного, приведенные в жалобе доводы,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«Дирекция транспортного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