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14.06.2021 обратился в Верховный Суд Российской Федерации с жалобой на определение судьи Верховного Суда Российской Федерации от 10.03.2021 № 306-ЭС21-156, решение Арбитражного суда Республики Татарстан от 25.05.2020, постановление Одиннадцатого арбитражного апелляционного суда от 05.08.2020 и постановление Арбитражного суда Поволжского округа от 10.11.2020 по делу № А65-4607/2019,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291.2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ФИО1 о восстановлении пропущенного процессуального срока отказать. Жалобу возвратить заявителю.Судья Верховного Суда Российской Федерации Н.С. Чучунова Суд: Верховный Суд РФ (подробнее) Истцы: ИП Цапина Марина Викторовна, г.Казань (подробнее) Ответчики: ООО "Производственная фирма "ТрансТехСервис-4", г.Казань (подробнее) Иные лица: Московский районный суд г.Казани (подробнее) Одиннадцатый Арбитражный апелляционный суд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