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обратился в суд с заявлением о возврате имущества, указанного в пункте 3 брачного договора от 14.02.2014, заключенного между должником и его супругой ФИО1: здания спортивно-оздоровительного комплекса с теннисными кортами, расположенного в &lt;...&gt; (далее – здание). Определением Арбитражного суда Алтайского края от 13.08.2020, оставленным без изменения постановлениями Седьмого арбитражного апелляционного суда от 25.11.2020 и Арбитражного суда Западно-Сибирского округа от 25.03.2021, заявление удовлетворено в части обязания ФИО1 передать финансовому управляющему ½ доли в здании;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(или изменить) названные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213.25, 213.26 Федерального закона от 26.10.2002 № 127-ФЗ «О несостоятельности (банкротстве), пунктами 1,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признали необоснованным отнесение к собственности супруги должника совместно нажитого имущества при наличии неисполненных обязательств перед кредиторами, рассмотрев и мотивированно отклонив её возражения.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России по Октябрьскому району г. Барнаула. (подробнее) ПАО "Банк Возрождение" (подробнее) ПАО Банк ВТБ 24 (подробнее) Товарищество домовладельцев "Кров" (подробнее) Иные лица: СРО АУ "Лидер"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