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Разин Евгений Сергеевич (далее – участник долевого строительства) обратился в суд с заявлением о включении в третью очередь реестра требований кредиторов должника (далее – реестр) 267 000 рублей убытков, понесённых в связи с расторжением договора участия в долевом строительстве от 25.02.2014 № 40/25. Банк также обратился в суд с заявлением, объединённым с заявлением Разина Е.С. в одно производство для совместного рассмотрения, в котором просил включить в реестр в составе третьей очереди 330 212 рублей 40 копеек убытков, 5 000 рублей расходов на проведение независимой оценки. Определением Арбитражного суда Костромской области от 10.08.2020, оставленным без изменения постановлением Второго арбитражного апелляционного суда от 27.10.2020, в третью очередь реестра включено требование Разина Е.С. в размере 46 033 рублей 47 копеек убытков; требование банка в размере 330 208 рублей 41 копейки убытков признано подлежащим удовлетворению после завершения расчётов с гражданами – участниками строительства, предъявившими денежные требования в установленный срок; распределены судебные расходы. Постановлением Арбитражного суда Центрального округа от 03.03.2021 данные судебные акты отменены. Заявление Разина Е.С. удовлетворено, в удовлетворении требований банка отказано. 2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акты, суд округа, руководствуясь статьями 384, 431 Гражданского кодекса Российской Федерации, положениями абзацев второго и третьего пункта 43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исходил из того, что воля сторон была направлена на погашение долга перед банком посредством уступки права требования по договору долевого участия без возможности взыскания штрафных санкций, а удовлетворение требования банка в большем размере за счёт причитающихся участнику долевого строительства убытков недопустимо.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«Костромаселькомбанк»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