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Андросов Олег Николаевич обратился в суд с заявлением об исключении из конкурсной массы должника трёх контейнеров 20 тонн. Определением Арбитражного суда Астраханской области от 19.10.2020, оставленным без изменения постановлениями Двенадцатого арбитражного апелляционного суда от 22.12.2020 и Арбитражного суда Поволжского округа от 10.03.2021, заявление удовлетворено. В кассационной жалобе, поданной в Верховный Суд Российской Федерации, заявитель просит отменить названные судебные акты, прекратить производство по заявлению или отказать в его удовлетворении.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2 Разрешая спор, суды, руководствуясь статьями 218, 304 Гражданского кодекса Российской Федерации, статьёй 131 Федерального закона от 26.10.2002 № 127-ФЗ «О несостоятельности (банкротстве), пунктом 34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спорное имущество не является собственностью должника, в связи с чем пришли к выводу об отсутствии оснований для его нахождения в конкурсной массе.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обжалуемых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Зунд Александру Викторовичу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