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признании недействительной сделкой договора уступки права требования от 23.03.2017 № ПС-З/у-16, заключенного между обществом с ограниченной ответственностью «Модуль» (далее – общество) и должником, применении последствий недействительности сделки. Определением Арбитражного суда Свердловской области от 30.09.2020, оставленным без изменения постановлениями Семнадцатого арбитражного апелляционного суда от 09.12.2020 и Арбитражного суда Уральского округа от 20.02.2021,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 спор на новое рассмотрение в Арбитражный суд Свердловской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 и 170 Гражданского кодекса Российской Федерации, статьи 61.2 Федерального закона от 26.10.2002 № 127-ФЗ «О несостоятельности (банкротстве)», пришли к выводу об отсутствии оснований для удовлетворения заявления по заявленным конкурсным управляющим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«Профтехстрой» Хадеевой Марине Олеговне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