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признании недействительными действий должника, выразившихся в частичном признании исковых требований о разделе совместно нажитого имущества в рамках дела №2-4911/2018, рассмотренного Советским районным судом города Красноярска, и применении последствий недействительности сделки. Определением Арбитражного суда Красноярского края от 31.08.2020, оставленным без изменения постановлениями Третьего арбитражного апелляционного суда от 08.12.2020 и Арбитражного суда Восточно-Сибирского округа от 04.03.2021, отказано в удовлетворении требований. В кассационной жалобе, поданной в Верховный Суд Российской Федерации, заявитель просит отменить указанные судебные акты, принять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69 Арбитражного процессуального кодекса Российской Федерации, исходили из направленности действий банка по инициации настоящего обособленного спора на пересмотр итогов рассмотрения иного (вышеуказанного) дела суда общей юрисдикции, что недопустимо.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«Райффайзенбанк»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