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«Альфа» обратилось в Арбитражный суд города Санкт-Петербурга и Ленинградской области с иском о взыскании с общества с ограниченной ответственностью «Диалог» 1 094 486 рублей 22 копеек задолженности за оказанные услуги по договору от 01.04.2014 № 12-14 и 132 164 рублей 05 копеек процентов за пользование чужими денежными средствами в соответствии со статьей 395 Гражданского кодекса Российской Федерации. Судом принят встречный иск общества с ограниченной ответственностью «Диалог» о взыскании с общества с ограниченной ответственностью «Альфа» 632 991 рубля 51 копейки неосновательного обогащения. Решением Арбитражного суда города Санкт-Петербурга и Ленинградской области от 03.09.2020 в удовлетворении первоначального иска отказано, встречный иск удовлетворен. Постановлением Тринадцатого арбитражного апелляционного суда от 30.11.2020 решение суда первой инстанции оставлено без изменения. 2 Арбитражный суд Северо-Западного округа постановлением от 25.03.2021 указанные судебные акты оставил без изменения. Общество с ограниченной ответственностью «Альфа»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отсутствие надлежащих доказательств оказания в спорный период транспортных услуг, руководствуясь положениями статей 309, 310, 395, 779, 801 Гражданского кодекса Российской Федерации, Федерального закона от 30.06.2003 № 87-ФЗ «О транспортно-экспедиционной деятельности», Федерального закона от 08.11.2007 № 259-ФЗ «Устав автомобильного транспорта и городского наземного электрического транспорта», суды пришли к выводу об отсутствии оснований для удовлетворения первоначального иска. Удовлетворяя встречный иск, суды руководствовались статьями 1102, 1107, 1109 Гражданского кодекса Российской Федерации и исходили из возникновения на стороне ответчика (по встречному иску) неосновательного обогащения ввиду ошибочного перечисления истцом (по встречному иску) спорных денежных средств в отсутствие доказательств предоставления ответчиком (по встречному иску) встречного обязательства.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Несогласие заявителя кассационной жалобы с произведенной судами оценкой представленных 3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