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«СОКОЛ» обратилось в Арбитражный суд Московской области с иском о взыскании с индивидуального предпринимателя Кальченко Сергея Анатольевича 6 186 510 рублей 76 копеек задолженности и 1 732 159 рублей 77 копеек неустойки по договору поставки товара от 11.01.2016 № 39-РВС. Решением Арбитражного суда Московской области от 25.06.2020 иск удовлетворен. Постановлением Десятого арбитражного апелляционного суда от 21.12.2020 решение суда первой инстанции оставлено без изменения. Арбитражный суд Московского округа постановлением от 16.03.2021 указанные судебные акты оставил без изменения. Индивидуальный предприниматель Кальченко Сергей Анатольевич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товара и неисполнение ответчиком встречных обязательств по оплате полученного товара, руководствуясь положениями статей 309, 310, 329, 330, 424, 485, 506, 516 Гражданского кодекса Российской Федерации, разъяснениями Пленума Верховного Суда Российской Федерации, изложенными в постановлении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жалобы о нарушении норм процессуального права при рассмотрении спора без учета возражений ответчика, изложенных в отзыве и приложенных к нему документах, были предметом рассмотрения судов и мотивированно отклонены.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Кальченко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