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28.08.2020, оставленным без изменения постановлениями Третьего арбитражного апелляционного суда от 29.10.2020 и Арбитражного суда Восточно-Сибирского округа от 17.02.2021, заявленное требование удовлетворено. В кассационной жалобе управление ставит вопрос об отмене принятых по делу судебных актов,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2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ходе плановой выездной проверки управлением установлено, что общество с 01.01.2020 осуществляет производственную деятельность, сопровождающуюся выбросами загрязняющих веществ при отсутствии: установленных нормативов предельно допустимых выбросов, соответствующего разрешения на выброс вредных (загрязняющих) веществ в атмосферный воздух, комплексного экологического разрешения; с 01.01.2019 осуществляет деятельность по размещению отходов производства и потребления в отсутствие разработанных нормативов образования отходов и лимитов на их размещение (далее – НООЛР). По результатам проверки выдано предписание, в соответствии с которым на общество возложена обязанность разработать НООЛР и получить соответствующее разрешение на выброс вредных (загрязняющих) веществ в атмосферный воздух, комплексное экологическое разрешение в срок до 01.08.2020. Не согласившись с указанным предписанием, общество обратилось в арбитражный суд. Исследовав обстоятельства дела и оценив имеющиеся доказательства, руководствуясь положениями Федерального закона от 10.01.2002 № 7-ФЗ «Об охране окружающей среды», Федерального закона от 04.05.1999 № 96-ФЗ «Об охране атмосферного воздуха», Федерального закона от 21.07.2014 № 219-ФЗ «О внесении изменений в Федеральный закон «Об охране окружающей среды» и отдельные законодательные акты Российской Федерации», Федерального закона от 25.12.2018 № 496-ФЗ «О внесении изменений в статью 14 Федерального закона «Об экологической экспертизе» и Федеральный закон «О внесении изменений в Федеральный закон «Об охране окружающей среды» и отдельные законодательные акты Российской Федерации», Федерального закона от 24.06.1998 № 89-ФЗ «Об отходах производства и потребления», Порядком разработки и утверждения нормативов образования отходов и лимитов на их размещение, утвержденным приказом Минприроды России от 25.02.2010 № 50, суды пришли к выводу о наличии оснований для удовлетворения заявленного требования. Судебные инстанции исходили из того, что обществом получено разрешение (от 10.06.2015 № 05-1/32-92) на выброс вредных веществ в атмосферу до 01.01.2019, что предполагает продление его действия до получения комплексного экологического разрешения, при этом срок получения комплексного экологического разрешения истекает 01.01.2025. 3 Суды учли, что до 01.01.2019 у субъектов малого и среднего предпринимательства, к которым относится общество, отсутствовала обязанность разрабатывать и утверждать НООЛР, данные субъекты представляли в уполномоченный орган отчетность об образовании, утилизации, обезвреживании, о размещении отходов в уведомительном порядке. При этом с 01.01.2019 у таких субъектов, эксплуатирующих объекты I категории, возникла обязанность в получении именно комплексного экологического разрешения, составной частью которого является расчет НООЛР (пункты 1, 10 статьи 31.1 Закона об охране окружающей среды). Таким образом, суды установили, что выводы управления о допущенном обществом нарушении не основаны на нормах действующего законодательства и на общество неправомерно возложена обязанность по разработке НООЛР не в составе комплексного экологического разрешения. Приведенные в жалобе доводы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повлиявших на исход дела, повторяют правовую позицию управления по существу спора о наличии у общества обязанности по разработке разрешительных документов. Несогласие заявителя с выводами судов и иное толкование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Енисейскому межрегиональному управлению Федеральной службы по надзору в сфере природопользования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