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«Транспортная компания «Союз» обратилось в Арбитражный суд города Москвы с иском к акционерному обществу «Вагонная ремонтная компания-3» об обязании предоставить оформленные акты-рекламации формы ВУ-41 на забракованные боковые рамы № 14-5852-2000, № 12-10260-2000 с направлением рекламационных документов в адрес истца. Решением Арбитражного суда города Москвы от 28.07.2020 иск удовлетворен. Постановлением Девятого арбитражного апелляционного суда от 28.10.2020 решение суда первой инстанции отменено и в удовлетворении иска отказано. Арбитражный суд Московского округа постановлением от 25.02.2021 постановление суда апелляционной инстанции оставил без изменения. Общество с ограниченной ответственностью «Транспортная компания «Союз» обратилось в Судебную коллегию Верховного Суда Российской 2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отсутствие у ответчика предусмотренной договором обязанности по составлению в спорном случае акта-рекламации формы ВУ-41М, руководствуясь положениями статей 8, 309, 310 Гражданского кодекса Российской Федерации, апелляционный суд пришел к выводу об отсутствии оснований для удовлетворения иска.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основаны на ином толковании заявителем норм материального права,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«Транспортная компания «Союз»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