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«Ван Дер Блэк» обратилось в Арбитражный суд города Москвы с иском о взыскании с акционерного общества «Газпромбанк» 1 444 826 рублей 60 копеек неосновательного обогащения и 44 173 рублей 80 копеек процентов за пользование чужими денежными средствами. Решением Арбитражного суда города Москвы от 29.07.2020 в удовлетворении иска отказано. Постановлением Девятого арбитражного апелляционного суда от 27.11.2020 решение суда первой инстанции оставлено без изменения. Арбитражный суд Московского округа постановлением от 03.03.2021 указанные судебные акты оставил без изменения. Общество с ограниченной ответственностью «Ван Дер Блэк»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рассмотрении дела суды руководствовались положениями статей 428, 421, 431, 845, 848, 854, 1102 Гражданского кодекса Российской Федерации, статьи 29 Федерального закона от 02.12.1990 № 395-1 «О банках и банковской деятельности», Федерального закона от 07.08.2001 № 115-ФЗ «О противодействии легализации (отмыванию) доходов, полученных преступным путем, и финансированию терроризма» и исходили из установленных конкретных обстоятельств спора.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«Ван Дер Блэк»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