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Искра» обратилось в Арбитражный суд города Москвы с иском о взыскании с общества с ограниченной ответственностью «Миком» 1 578 623 рублей 30 копеек неосновательного обогащения. Решением Арбитражного суда города Москвы от 26.08.2020 иск удовлетворен. Постановлением Девятого арбитражного апелляционного суда от 23.11.2020 решение суда первой инстанции оставлено без изменения. Арбитражный суд Московского округа постановлением от 30.03.2021 указанные судебные акты оставил без изменения. Общество с ограниченной ответственностью «Миком»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487, 1102, 1103 Гражданского кодекса Российской Федерации, установив, что продавец, получивший сумму предварительной оплаты, не исполнил обязанность по передаче товара в установленный срок, суды сделали вывод о том, что покупатель вправе требовать возврата суммы предварительной оплаты за товар, не переданный продавцом.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3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