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Ваколюк Виктор Николаевич обратился в Арбитражный суд Ханты-Мансийского автономного округа - Югры с иском о взыскании с акционерного общества «Специализированный застройщик «Сургутстройтрест» 558 900 рублей задолженности по договору на оказание транспортных услуг от 05.12.2014 № 3682/14-Д и 100 000 рублей судебных расходов по оплате услуг представителя. Решением Арбитражного суда Ханты-Мансийского автономного округа - Югры от 11.09.2020 в удовлетворении иска отказано. Постановлением Восьмого арбитражного апелляционного суда от 03.12.2020 решение суда первой инстанции оставлено без изменения. Арбитражный суд Западно-Сибирского округа постановлением от 10.03.2021 указанные судебные акты оставил без изменения. Индивидуальный предприниматель Ваколюк Виктор Николаевич обратился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195, 196, 199, 200, 314, 431, 614, 779, 781, 783 Гражданского кодекса Российской Федерации, разъяснениями Пленума Верховного Суда Российской Федерации, изложенными в постановлении от 29.09.2015 № 43 «О некоторых вопросах, связанных с применением норм Гражданского кодекса Российской Федерации об исковой давности», признав разумным возникновение обязательства ответчика (заказчика) по оплате оказанных услуг по факту подписания сторонами актов, учитывая перерыв течения срока исковой давности в связи с подписанием сторонами акта сверки расчетов, суды пришли к выводу о пропуске истцом срока исковой давности. Доводы, изложенные в кассационной жалобе, о начале течения срока исковой давности с момента предъявления претензии (требования),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Ваколюку Виктору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