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«Дальневосточная транспортная группа» обратилось в Арбитражный суд Новосибирской области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«ФаворитТрансСервис» 522 000 рублей штрафа за превышение согласованного срока нахождения предоставленных вагонов на станциях погрузки/выгрузки по договору от 20.07.2016 № 4-16/ДВТГ/ВЦ об обеспечении подвижным составом. Решением Арбитражного суда Новосибирской области от 14.08.2020 иск удовлетворен. Постановлением Седьмого арбитражного апелляционного суда от 13.10.2020 решение суда первой инстанции оставлено без изменения. Арбитражный суд Западно-Сибирского округа постановлением от 18.02.2021 указанные судебные акты оставил без изменения. Общество с ограниченной ответственностью «ФаворитТрансСервис» обратилось в Судебную коллегию Верховного Суда Российской Федерации с 2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квалифицировав сложившиеся между сторонами правоотношения как возникшие из договора возмездного оказания услуг по предоставлению подвижного состава, признав доказанными предоставление истцом спорных вагонов по заявкам ответчика, принятие вагонов заказчиком и их использование в перевозочном процессе, допущенный по вине ответчика и его контрагентов сверхнормативный простой вагонов на станциях погрузки/выгрузки, руководствуясь положениями статей 309, 329, 330 Гражданского кодекса Российской Федерации, суды признали требование о взыскании штрафа обоснованным, не усмотрев оснований для применения статьи 333 Гражданского кодекса Российской Федерации. Несогласие заявителя кассационной жалобы с произведенной судами оценкой представленных доказательств и обстоятельств дела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3 Нарушений или неправильного применения норм процессуального права, которые привели или могли привести к принятию неправильных судебных актов и которые могли бы явиться основанием для изменения или отмены принятых по делу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«ФаворитТрансСервис»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