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«БМВ Русланд Трейдинг» обратилось в Арбитражный суд города Москвы с иском о взыскании с общества с ограниченной ответственностью «Азимут СП» 41 045 534 рублей 72 копеек задолженности по договору поставки от 18.10.2001 № ААА-С-0085/01. Судом принят встречный иск общества с ограниченной ответственностью «Азимут СП» о взыскании с общества с ограниченной ответственностью «БМВ Русланд Трейдинг» 451 234 рублей 50 копеек неосновательного обогащения. Решением Арбитражного суда города Москвы от 30.07.2020 первоначальный иск удовлетворен в полном объеме; встречный иск удовлетворен в части взыскания 76 310 рублей 29 копеек, в удовлетворении встречного иска в остальной части отказано. В результате зачета с общества с ограниченной ответственностью «Азимут СП» в пользу общества с ограниченной ответственностью «БМВ Русланд Трейдинг» взыскано 41 167 190 рублей 43 копейки. 2 Постановлением Девятого арбитражного апелляционного суда от 27.11.2020 решение суда первой инстанции оставлено без изменения. Арбитражный суд Московского округа постановлением от 02.03.2021 указанные судебные акты оставил без изменения. Общество с ограниченной ответственностью «Азимут СП»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первоначальный иск, суды исходили из доказанности факта поставки товара и отсутствия доказательств его оплаты. Удовлетворяя встречный иск в части, суды исходили из того, что установка дополнительного оборудования на возвращенные автомобили не согласована с ответчиком (по встречному иску), и признали доказанным факт принятия данного оборудования ответчиком в части.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Отклоняя возражения заявителя относительно отказа в удовлетворении ходатайства об уточнении встречных исковых требований, суды исходили из того, что истец (по встречному иску) изменил предмет и основание иска, фактически заявив новые требования к ответчику, что недопустимо в соответствии со статьей 49 Арбитражного процессуального кодекса Российской Федерации.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права, поскольку суды, проанализировав и оценив представленные доказательства, не усмотрели оснований для назначения экспертизы.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«Азимут СП»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