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«Флэкс» обратилось в Арбитражный суд Ярославской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«Свобода» 3 810 700 рублей неосновательного обогащения. Решением Арбитражного суда Ярославской области от 14.06.2020 иск удовлетворен в части взыскания 3 280 000 рублей, в удовлетворении иска в остальной части отказано. Постановлением Второго арбитражного апелляционного суда от 26.10.2020 решение суда первой инстанции оставлено без изменения. Арбитражный суд Волго-Вятского округа постановлением от 12.03.2021 указанные судебные акты оставил без изменения. Общество с ограниченной ответственностью «Свобода»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получения ответчиком спорных денежных средств в отсутствие доказательств исполнения ответчиком встречного обязательства, учитывая частичный возврат денежных средств, руководствуясь положениями статей 8, 10, 309, 310, 456, 458, 486, 506, 509, 513, 1102 Гражданского кодекса Российской Федерации, статьи 50.4 Лесного кодекса Российской Федерации, Федерального закона от 06.12.2011 № 402-ФЗ «О бухгалтерском учете», Положением по ведению бухгалтерского учета и бухгалтерской отчетности в Российской Федерации, утвержденным приказом Министерства финансов Российской Федерации от 29.07.1998 № 34н, суды пришли к выводу об обоснованности иска в части.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«Свобода»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