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страховое акционерное общество «Ресо-Гарантия» обратилось в Арбитражный суд города Москвы с иском о взыскании с общества с ограниченной ответственностью «Вива Транс» 852 804 рублей 39 копеек ущерба, причиненного в результате дорожно-транспортного происшествия. Решением Арбитражного суда города Москвы от 04.12.2020 иск удовлетворен. Постановлением Девятого арбитражного апелляционного суда от 10.02.2021 решение суда первой инстанции оставлено без изменения. Арбитражный суд Московского округа постановлением от 15.04.2021 указанные судебные акты оставил без изменения. Общество с ограниченной ответственностью «Вива Транс»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установив, что стоимость восстановительного ремонта поврежденного транспортного средства превышает сумму страхового возмещения в пределах установленного лимита, руководствуясь положениями статей 15 , 965 , 1072 , 1079 Гражданского кодекса Российской Федерации, Федерального закона от 25.04.2002 № 40-ФЗ «Об обязательном страховании гражданской ответственности владельцев транспортных средств», суды пришли к выводу о взыскании убытков с причинившего вред лица по общему правилу о полном возмещении убытков вследствие причинения вреда.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Отказ в удовлетворении ходатайства о назначении судебной экспертизы не свидетельствует о нарушении или неправильном применении норм процессуального права, поскольку суды, проанализировав и оценив представленные доказательства, не усмотрели оснований для назначения экспертизы.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«Вива 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Страховое "РЕСО-Гарантия" (подробнее) Ответчики: ООО "ВИВА ТРАНС" (подробнее) Судьи дела: Зарубина Е.Н. (судья) (подробнее) Судебная практика по: Упущенная выгода Судебная практика по применению норм ст. 15, 393 ГК РФ Источник повышенной опасности Судебная практика по применению нормы ст. 1079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