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города Санкт-Петербурга и Ленинградской области с иском о взыскании с общества с ограниченной ответственностью «Эрми-Транспорт» 4 127 702 рублей 40 копеек недобора провозной платы.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«РемТрансМаш». Решением Арбитражного суда города Санкт-Петербурга и Ленинградской области от 11.08.2020 иск удовлетворен. Постановлением Тринадцатого арбитражного апелляционного суда от 14.12.2020 решение суда первой инстанции оставлено без изменения. Арбитражный суд Северо-Западного округа постановлением от 24.03.2021 указанные судебные акты отменил в части взыскания 958 619 рублей по железнодорожной накладной ЭД 108897, а также в части распределения расходов по уплате государственной пошлины и дело в указанной части направил на новое рассмотрение в Арбитражный суд города Санкт-Петербурга и Ленинградской области, в остальной части названные судебные акты оставил без изменения. Общество с ограниченной ответственностью «Эрми-Транспорт»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удовлетворения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в том числе условия заключенного сторонами договора по организации расчетов и оплаты клиентом провозных платежей, установив, что по указанному договору ответчик является лицом, ответственным за оплату выявленного недобора по провозной плате по выполненным отправкам вагонов, признав доказанным факт оказания истцом услуг по перевозке вагонов отдельным локомотивом по специально разработанному расписанию, учитывая, что услуги перевозки отдельным локомотивом предполагали применение повышенного коэффициента по Прейскуранту 10-01, руководствуясь положениями статей 25, 30 Федерального закона от 10.01.2003 № 18-ФЗ «Устав железнодорожного транспорта Российской Федерации», суды пришли к выводу о наличии оснований для взыскания недобора провозной платы по железнодорожным накладным №№ ЭЗ186318, ЭЛ143423, ЭЙ075591.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«Эрми-Транспорт»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"Российские железные дороги" (подробнее) Ответчики: ООО "ЭРМИ-ТРАНСПОРТ"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