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Ставропольского края от 19.11.2019 с общества в пользу компании взыскано 43 699 405 руб. 41 коп. процентов за период с 03.04.2015 по 13.05.2019; проценты с 14.05.2019 по 30.07.2019, начисляемые на сумму долга 140 376 354 руб. из расчета ключевой ставки Центрального Банка Российской Федерации, действующей в соответствующие периоды; проценты, начисляемые на сумму долга в размере 138 376 354 руб. с 01.02.2020 по день фактического исполнения обязательств из расчета ключевой ставки Центрального Банка Российской Федерации, действующей в соответствующие периоды; в остальной части в иске отказано. Постановлением Шестнадцатого арбитражного апелляционного суда от 10.09.2020 решение суда первой инстанции изменено, с общества в пользу компании взыскано 45 893 877 руб. 44 коп. процентов с 03.04.2015 по 29.07.2019 с последующим начислением с 01.02.2020 на сумму долга 138 376 354 руб. по день фактического исполнения обязательств с учетом ключевой ставки Банка России, действующей в соответствующие периоды. Постановлением Арбитражного суда Северо-Кавказского округа от 18.02.2021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 апелляционной инстанции руководствовался статьей 395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и, принимая во внимание обстоятельства, установленные вступившими в законную силу судебными актами по делу № А63-11626/2014, признав правомерным начисление процентов за пользование чужими денежными средствами, произведя перерасчет процентов с учетом их частичного погашения, удовлетворил иск частично, с чем впоследствии согласился суд округа. Доводы кассационной жалобы были предметом рассмотрения суда округа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«МВЦ 2012»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ЕГЕР И ПАРТНЕРЫ (подробнее) "ЕГЕР И ПАРТНЕРЫ" ГОРОДА МОСКВЫ (подробнее) ООО "Стройреставрация" (подробнее) Ответчики: ООО "МВЦ 2012" (подробнее) Иные лица: ООО "Кузнецов Марисин и Партнеры"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