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22.06.2020 договор признан недействительным и в качестве последствия недействительности со компании в пользу общества «Вояж» взыскано 5 334 рубля 34 копейки страховой премии. Тринадцатый арбитражный апелляционный суд постановлением от 14.09.2020 отменил решение от 22.06.2020 в части применения последствий недействительности сделки, в остальной части решение оставил без изменения. Арбитражный суд Северо-Западного округа постановлением от 18.01.2021 постановление Тринадцатого арбитражного апелляционного суда от 14.09.2020 оставил без изменения. В кассационной жалобе общество «Вояж» просит об отмене судебных актов, ссылаясь на игнорирование судами правила пункта 2 статьи 944 2 Гражданского кодекса Российской Федерации, неустановление юридически значимых обстоятельств заключения договора и нарушение единообразия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«Вояж» на профессиональной основе оказывает таксомоторные услуги и использует в этих целях транспортное средство, в отношении которого заключен оспариваемый компанией договор. Графы о цели использования транспортного средства содержатся в заявлении о заключении договора и страховом полисе, являющимися типовыми формами, в которых отражаются сведения, имеющие существенное значение для договора данного вида, в частности для формирования подлежащего уплате страхового тарифа. Указанные документы с заполненной графой о прочей цели использования транспортного средства подписаны лицом, заключавшим договор от имени общества «Вояж», и это обстоятельство исключает применение правила пункта 2 статьи 944 Гражданского кодекса Российской Федерации. Заведомую ложность сообщения о цели использования транспортного средства суды установили по итогу исследования осуществляемой обществом «Вояж» деятельности, и к договору, заключенному на основании таких сведений, правомерно применили последствия, предусмотренные пунктом 3 статьи 944 Кодекса. Несоответствия обжалуемых судебных актов судебной практике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«Вояж»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