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«Евролайн» обратилось в Арбитражный суд Московской области с иском о взыскании с общества с ограниченной ответственностью «ЭкоЛайф» 10 812 717 рублей задолженности в виде суммы НДС по договору на оказание услуг по транспортировке твердых коммунальных отходов на территории Московской области от 27.12.2018 № К-Т2-2018-2. Решением Арбитражного суда Московской области от 26.06.2020 иск удовлетворен. Постановлением Десятого арбитражного апелляционного суда от 07.12.2020 решение суда первой инстанции оставлено без изменения. Арбитражный суд Московского округа постановлением от 31.03.2021 указанные судебные акты оставил без изменения. Общество с ограниченной ответственностью «ЭкоЛайф»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на оказание услуг по транспортировке твердых коммунальных отходов, непредставление ответчиком доказательств оплаты оказанных услуг с учетом налога на добавленную стоимость,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«ЭкоЛайф»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