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«ЭкоЛайф» обратилось в Арбитражный суд Московской области с иском о взыскании с общества с ограниченной ответственностью «МЖС груп» 1 065 000 рублей неустойки по договору от 20.03.2019 № Р-Т1-2019-26. Определением Арбитражного суда Московской области от 09.11.2020 иск оставлен без рассмотрения на основании пункта 2 части 1 статьи 148 Арбитражного процессуального кодекса Российской Федерации. Постановлением Десятого арбитражного апелляционного суда от 22.12.2020 определение суда первой инстанции оставлено без изменения. Арбитражный суд Московского округа постановлением от 10.03.2021 указанные судебные акты оставил без изменения. Общество с ограниченной ответственностью «ЭкоЛайф»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отсутствие достоверных и надлежащих доказательств направления ответчику претензии, суды пришли к выводу о несоблюдении истцом обязательного досудебного порядка урегулирования спора, что в соответствии с пунктом 2 части 1 статьи 148 Арбитражного процессуального кодекса Российской Федерации явилось основанием для оставления иска без рассмотрения. Доводы жалобы,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«ЭкоЛайф»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