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Протодьяконов Андрей Владимирович обратился в суд с заявлением о взыскании в пользу должника убытков с Нарушевича А.С. в размере 885 000 рублей. Определением Арбитражного суда Кемеровской области от 14.09.2020, оставленным без изменения постановлениями Седьмого арбитражного апелляционного суда от 24.11.2020 и Арбитражного суда Западно-Сибирского округа от 11.02.2021, в отдельное производство выделено требование о взыскании 735 000 рублей, в остальной части требование удовлетворено, с Нарушевича А.С. в пользу должника взыскано 150 000 рублей в возмещение убытков, представляющих собой сумму штрафов в связи с привлечением должника к административной ответственности. В кассационной жалобе, поданной в Верховный Суд Российской Федерации, заявитель просит отменить указанные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Суды, руководствуясь положениями статей 15 и 53 Гражданского кодекса Российской Федерации, установив причинно-следственную связь между действиям (бездействием) Нарушевича А.С. как контролирующего должника лица и убытками на стороне должника, пришли к выводу об обоснованности требований в указанной части. Суды также обоснованно исходили из целесообразности выделения части требований в отдельное производство.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Нарушевичу Андрею Сергеевичу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