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капитального ремонта многоквартирных домов Иркутской области (бенефициар) обратился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«Экспобанк» (гаранта) 6 901 190 рублей 27 копеек выплаты по банковской гарантии, 1 159 399 рублей 97 копеек неустойки за период с 02.10.2019 по 17.03.2020, неустойки за период с 18.03.2020 по дату фактической оплаты.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«Финансово-строительная компания «Милана» (принципал). Решением Арбитражного суда города Москвы от 22.06.2020 иск удовлетворен. 2 Постановлением Девятого арбитражного апелляционного суда от 23.10.2020 решение суда первой инстанции оставлено без изменения. Арбитражный суд Московского округа постановлением от 24.02.2021 указанные судебные акты оставил без изменения. Общество с ограниченной ответственностью «Экспобанк»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иск, суды руководствовались положениями статей 329, 368, 370, 374, 377, 378 Гражданского кодекса Российской Федерации и исходили из того, что требование бенефициара и приложенные документы соответствуют условиям гарантии, предъявлены в установленном порядке и в пределах срока ее действия, отсутствуют предусмотренные статьей 376 Гражданского кодекса Российской Федерации основания для отказа гаранта в совершении платежа и не имеется оснований для применения статьи 333 Гражданского кодекса Российской Федерации при взыскании неустойки.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