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Деришев Ю.В. обратился в суд с заявлением об установлении ему процентов по вознаграждению конкурсного управляющего в сумме 242 748 рублей 09 копеек. Определением Арбитражного суда Кировской области от 25.09.2020, оставленным без изменения постановлениями Второго арбитражного апелляционного суда от 25.11.2020 и Арбитражного суда Волго-Вятского от 18.02.2021,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требования удовлетворить.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20.6 и пунктом 1 статьи 57 Федерального закона от 26.10.2002 № 127-ФЗ «О несостоятельности (банкротстве)», пунктом 8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исходили из прекращения производства по делу о банкротстве должника в результате погашения всех требований кредиторов. Установив, что конкурсный управляющий каких-либо значимых действий по формированию конкурсной массы должника не совершал, пришли к обоснованному выводу об отсутствии оснований для удовлетворения требований. Выводы судов соответствуют нормам права, оснований для переоценки выводов судов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Дерищеву Юрию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