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29.08.2020, оставленным без изменения постановлением Девятого арбитражного апелляционного суда от 10.12.2020 и постановлением Арбитражного суда Московского округа от 29.03.2021, с компании в пользу общества взыскано 39 739 929 руб. 25 коп. долга по договорам поставки, 21 000 000 руб. договорной неустойки, а также 500 000 руб. расходов на оплату услуг представителя. Не согласившись с указанными судебными актами, компания обратилась в Верховный Суд Российской Федерации с кассационной жалобой, в которой просит их отменить как незаконные и необоснованные в части взыскания с нее расходов на оплату услуг представителя и направить дело в этой части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Принимая судебные акты в обжалуемой части, суды руководствовались статьями 101, 106, 110 Арбитражного процессуального кодекса Российской Федерации, разъяснениями, изложенными в информационном письме Президиума Высшего Арбитражного Суда Российской Федерации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и исходили из доказанности обществом факта несения расходов на оплату услуг представителя в заявленном размере. При разрешении вопроса судами учтены характер спора, степень сложности дела, продолжительность его рассмотрения, а также иные доказательства, свидетельствующие о наличии оснований для взыскания с компании судебных расходов в заявленном размере. Довод компании о чрезмерности заявленных к возмещению судебных расходов был предметом исследования судов и мотивированно отклонен. Довод заявителя о неправомерном отказе суда апелляционной инстанции в принятии дополнительных доказательств подлежит отклонению, поскольку ходатайство разрешено в соответствии с требованиями статьи 268 Арбитражного процессуального кодекса Российской Федерации. Доводы кассационной жалобы не опровергают выводы судов, не подтверждают существенных нарушений судами норм права, повлиявших на исход дела,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«Специализированная строительная компания «Газрегион»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