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Тверской области от 06.08.2020, оставленным без изменения постановлением Четырнадцатого арбитражного апелляционного суда от 20.10.2020 и постановлением Арбитражного суда Северо-Западного округа от 17.02.2021, первоначальные исковые требования удовлетворены, в удовлетворении встречного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Тверской области в ином составе судей.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условия договора от 31.10.2016 № 12320100329150001930/1/15/СМР-Суб/СК (в редакции дополнительных соглашений) и обстоятельства его исполнения сторонами, суды первой и апелляционной инстанций установили факт перечисления компанией в пользу общества аванса в размере 24 000 000 руб., выполнения последним работ на сумму 18 900 616 руб. 48 коп., составляющую твердую цену договора, и отсутствие доказательств увеличения сторонами объемов и стоимости работ. При таких обстоятельствах, руководствуясь статьями 395 , 702 , 709 , 711 , 720 , 746 , 753 , 1102 Гражданского кодекса Российской Федерации, суды пришли к выводу о наличии оснований для удовлетворения первоначальных требований и отказа в удовлетворении встречных требований, с чем впоследствии согласился суд округа. Доводы кассационной жалобы свидетельствуют о несогласии с установленными по делу фактическими обстоятельствами, направлены на их переоценку, что не входит в компетенцию Верховного Суда Российской Федерации. Поскольку существенных нарушений судами норм материального и процессуального права, повлиявших на исход дела, доводы кассационной жалобы не подтверждают, оснований для передачи жалобы для рассмотрения в судебном заседании Судебной коллегии Верховного Суда Российской Федерации не имеется. Принимая во внимание изложенное и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«Строй-Контакт»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"Дорожная строительная Компания" (подробнее) Ответчики: ООО "Строй-Контакт"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