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22.01.2020 исковые требования удовлетворены. Постановлением Седьмого арбитражного апелляционного суда от 06.11.2020 решение суда первой инстанции изменено, с общества в пользу компании взыскано 632 391 руб. 87 коп. задолженности, 369 658 руб. неустойки за период с 16.08.2018 по 15.01.2020, а также неустойка за период с 16.01.2020 до фактической оплаты долга, в удовлетворении остальной части исковых требований отказано; распределены судебные расходы. Постановлением Арбитражного суда Западно-Сибирского округа от 01.03.2021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Новосибирской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Изменяя решение суда первой инстанции и частично удовлетворяя исковые требования,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заключения судебных экспертиз, руководствовался статьями 329 , 330 , 711 , 721 , 723 , 753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 исходил из того, что компанией выполнен согласованный с обществом объем работ, однако их часть выполнена некачественно и оплате не подлежит. Поскольку ответчиком не доказана несоразмерность неустойки, суд не установил оснований для применения статьи 333 Гражданского кодекса Российской Федерации. С указанными выводами впоследствии согласился суд округа. Доводы заявителя повторяют доводы, которые были предметом рассмотрения суда округа, им дана надлежащая правовая оценка. Поскольку изложенные в кассационной жалобе доводы не опровергают выводы судов, не подтверждают существенных нарушений норм материального и процессуального права, повлиявших на исход дела,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«Маник»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ДОРОЖНО-СТРОИТЕЛЬНАЯ КОМПАНИЯ "СИБСПЕЦСТРОЙ" (подробнее) Ответчики: ООО "Маник" (подробнее) Иные лица: Арбитражный суд Западно-Сибирского округа (подробнее) Межрайонная инспекция Федеральной налоговой службы России 15 по Новосибирской области (подробнее) ООО ДСК "СибСпецСтрой" (подробнее) Седьмой арбитражный апелляционный суд (подробнее) ФГБОУВО "СГУПС"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