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«Бриф» (далее – компания) обратилось в Арбитражный суд Челябинской области с иском к обществу о взыскании задолженности, возникшей из договора субаренды от 04.01.2015 № 04-01/2015-а, в том числе 670 010 руб. 36 коп. - задолженности по субарендной плате за пользование помещением, 196 547 руб. 24 коп. - неустойки, начисленной за период с 10.01.2015 по 15.02.2018 по пункту 5.2 договора с продолжением начисления неустойки до момента фактического исполнения обязательства. Решением Арбитражного суда Челябинской области от 19.04.2018 исковые требования удовлетворены. Восемнадцатый арбитражный суд определением от 07.07.2020 перешел к рассмотрению дела по правилам суда первой инстанции. В ходе рассмотрения дела апелляционный суд принял к совместному рассмотрению с первоначальным иском встречный иск общества к компании о признании договора субаренды от 04.01.2015 № 04-01/2015-а, соглашения от 08.05.2015 о расторжении этого договора недействительными сделками, а также привлек к участию в деле в качестве третьего лица, не заявляющего самостоятельных требований относительно предмета спора, Администрацию города Магнитогорска. Постановлением Восемнадцатого арбитражного апелляционного суда от 08.09.2020 решение суда первой инстанции отменено; первоначальные исковые требования удовлетворены; в удовлетворении встречных исковых требований отказано. Постановлением Арбитражного суда Уральского округа от 03.02.2021 постановление апелляционного суда оставлено без изменения.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компания принятые на себя обязательства по договору от 04.01.2015 № 04-01/2015-а исполнила - передала имущество в пользование обществу, что подтверждено актом от 04.01.2015, тогда как последним обязательства по указанному договору не выполнены в полном объеме - платежи в согласованном размере за пользование имуществом не оплачены, размер образовавшейся задолженности по уплате базовой части арендной платы составил 179 695 руб. 19 коп., по уплате переменной части арендной платы - 490 315 руб. 17 коп.; исполнение обязательства по уплате платежей по договору обеспечено неустойкой, размер которой согласован сторонами в пункте 5.2 договора. Исходя из отсутствия доказательств, подтверждающих погашение обществом спорной задолженности с учетом начисленной неустойки, опровергающих каким-либо образом ее размер, не установив оснований для применения статьи 333 Гражданского кодекса Российской Федерации, а также для признания договора и соглашения о его расторжении недействительными, в том числе по мотиву пропуска срока исковой давности, руководствуясь статьями 8 , 166 , 309 , 310 , 329 , 330 , 432 , 606 , 607 , 614 Гражданского кодекса Российской Федерации, разъяснениями, изложенными в пункте 10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пункте 3 информационного письма Президиума Высшего Арбитражного Суда Российской Федерации от 25.02.2014 № 165 «Обзор судебной практики по спорам, связанным с признанием договоров незаключенными», пунктах 60, 71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пришел к выводу о наличии оснований для удовлетворения первоначальных требований и отказа в удовлетворении встречных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Торговый дом «КБ-Инструмент»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"Бриф" (подробнее) Ответчики: ООО ТД "КБ-Инструмент" (подробнее) Иные лица: Администрация города Магнитогорска (подробнее) Судебная практика по: Признание договора незаключенным Судебная практика по применению нормы ст. 432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