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12.05.2020, оставленным без изменения постановлением Третьего арбитражного апелляционного суда от 11.08.2020 и постановлением Арбитражного суда Восточно-Сибирского округа от 11.02.2021, с компании в пользу общества взыскано 4 602 644 руб. 77 коп. задолженности, в удовлетворении остальной части первоначального иска отказано; с компании в пользу общества взыскано 500 000 руб. неустойки, в удовлетворении остальной части встречного иска отказано; распределены судебные расходы по уплате государственной пошлины; произведен зачет удовлетворенных требований. 2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Предъявленные взаимные требования общества (поставщик) и компании (покупатель) основаны на договоре поставки от 21.08.2017 № 04/17-Ф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заключение судебной экспертизы, суды первой и апелляционной инстанций пришли к выводу о нарушении поставщиком условий договора об ассортименте товара и, установив факт принятия части товара покупателем, которым не представлено доказательств оплаты, указали на наличие у него обязанности по оплате данного товара. Исходя из подтвержденности факта нарушения поставщиком срока поставки товара, суды сочли обоснованным начисление покупателем неустойки. Проверив представленный покупателем расчет и признав его ошибочным, произведя перерасчет неустойки, указав на ее несоразмерность последствиям нарушения обязательства, суды снизили размер неустойки на основании статьи 333 Гражданского кодекса Российской Федерации. При таких обстоятельствах, руководствуясь статьями 309, 310, 329, 330, 431, 454, 467, 468, 486, 506, 516 Гражданского кодекса Российской Федерации, разъяснениями, приведенными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первоначальный и встречный иски,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установленных судами,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«АС-Бест»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