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26.12.2019, оставленным без изменения постановлением Девятого арбитражного апелляционного суда от 02.10.2020 и постановлением Арбитражного суда Московского округа от 09.02.2021, в удовлетворении исковых требований отказано. В кассационной жалобе, поданной в Верховный Суд Российской Федерации, Антипов А.Ю., ссылаясь на нарушение судами норм материального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2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Требования Антипова А.Ю. (арендодатель) мотивированы ненадлежащим исполнением Хусяиновым Р.Ф. (арендатор) в период с 06.10.2018 по 31.12.2018 обязательств по внесению арендной платы в рамках договора аренды от 16.08.2018 (далее – договор).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Хусяинов Р.Ф. направил в адрес Антипова А.Ю. уведомление о расторжении договора с просьбой зачесть сумму обеспечительного платежа в счет оплаты арендной платы за октябрь 2018 года; договор расторгнут в соответствии с его условиями с 31.10.2018; арендная плата за октябрь 2018 года уплачена истцу в предусмотренном договором порядке, а с ноября 2018 года спорные нежилые помещения выбыли из владения ответчика и поступили в распоряжение истца, руководствуясь статьями 165.1, 309, 310, 450, 606, 614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первой и апелляционной инстанций пришли к выводу об отсутствии оснований для удовлетворения иска. Суд округа согласился с выводами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Антипова Алексея Юрьевича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