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15.10.2020, оставленным без изменения постановлением Девятого арбитражного апелляционного суда от 18.12.2020, взыскано 4 999 999 рублей неосновательного обогащения. Арбитражный суд Московского округа постановлением от 16.03.2021 решение от 15.10.2020 и постановление Девятого арбитражного апелляционного суда от 18.12.2020 оставил без изменения. В кассационной жалобе общество «Нижнеангарсктрансстрой» просит об отмене судебных актов в неудовлетворенной части иска, ссылаясь на неосновательное непринятие внесудебной экспертизы.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Представленное истцом заключение экспертизы оценено судами в соответствии с компетенцией по правилам об оценке доказательств и пересмотр компетенции в этом вопросе на стадии кассационной проверки судебных актов не допускается как не попадающий под поименованные основания.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«Нижнеангарсктрансстрой»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