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23.06.2020 заявленное требование удовлетворено. Постановлением Пятого арбитражного апелляционного суда от 05.10.2020 решение суда первой инстанции отменено, в удовлетворении заявления отказано. Арбитражный суд Дальневосточного округа постановлением от 24.02.2021 постановление суда апелляционной инстанции оставил без изменения.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проверки, проведенной на объекте капитального строительства, управлением выявлено несоблюдение обществом требований проектной документации, получившей положительное заключение государственной экспертизы, в связи с чем выдано предписание. Предписанием управления на общество возложена обязанность по устранению нарушений градостроительного законодательства на объекте капитального строительства. Не согласившись с ненормативным правовым актом управления, общество обратилось в арбитражный суд. Суд первой инстанции, удовлетворяя заявление общества, принял во внимание обстоятельства, установленные по результатам рассмотрения дел №№ А51-21506/2018, А51-18130/2019, и исходил из отсутствия нарушений проектной документации со стороны общества. Судом указано, что выявленные управлением изменения и перепланировки согласованы с заказчиком, в том числе путем подписания сопоставительной ведомости, технического задания, подтверждены генпроектировщиком. Отменяя решение суда первой инстанции, суд апелляционной инстанции, руководствуясь положениями частей 15, 15.2, 15.3 статьи 48, частей 1, 3.5, 3.6, 3.8, 3.9 статьи 49, частей 3, 6, 7 статьи 52 Градостроительного кодекса Российской Федерации (далее – Градостроительный кодекс), пришел к выводу о том, что оспариваемое предписание является законным, не нарушает права и законные интересы общества, с чем согласился суд округа. Судебные инстанции исходили из того, что действовавшее на момент внесения изменений в проектные решения объекта градостроительное законодательство предусматривало необходимость подтверждения соответствия внесенных в проектную документацию изменений путем заключения органа исполнительной власти или организации, проводивших экспертизу проектной документации, в которую внесены изменения. При исследовании обстоятельств дела установлено отсутствие доказательств подтверждающих, что изменения, внесенные в проектную документацию, отвечают требованиям частей 3.8, 3.9 статьи 49 Градостроительного кодекса. 3 Доводы, изложенные в кассационной жалобе, повторяют позицию общества по спору, являлись предметом рассмотрения судов и не опровергают их выводы, сделанные на основании правильного применения норм права к установленным обстоятельствам дела,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«Ремонтно-строительная компания КФК»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