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03.08.2020, оставленным без изменения постановлением Восьмого арбитражного апелляционного суда от 21.09.2020, взыскано 45 824 рубля 48 копеек неустойки. Арбитражный суд Западно-Сибирского округа постановлением от 16.02.2021 решение от 03.08.2020 и постановление Восьмого арбитражного апелляционного суда от 21.09.2020 оставил без изменения. В кассационной жалобе предприниматель просит об отмене судебных актов, ссылаясь на неправомерный учет износа при формальном исполнении обязанности по выдаче направления на ремонт.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 Суды установили переход сторон на денежную форму возмещения убытков в рамках ОСАГО, предполагающую учет износа комплектующих, применение которого страховщиком признано правомерным в силу статьи 12 Федерального закона от 25.04.2002 № 40-ФЗ «Об обязательном страховании гражданской ответственности владельцев транспортных средств». Ненадлежащего исполнения страховщиком обязательств в связи с наступившим страховым случаем и обращением потерпевшего как основания для применения ответственности в силу статей 15, 393 Гражданского кодекса Российской Федерации в виде полного возмещения убытков суды не установили, поэтому в иске о взыскании страхового возмещения сверх полученного от страховщика во внесудебном порядке отказали.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Бронниковой Ю.Д.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