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17.08.2020 исковые требования удовлетворены. Определением Пятнадцатого арбитражного апелляционного суда от 03.02.2021, оставленным без изменения постановлением Арбитражного суда Северо-Кавказского округа от 25.03.2021, апелляционная жалоба предпринимателя возвращена в связи с отказом в восстановлении пропущенного для ее подачи срока. В кассационной жалобе предприниматель просит о пересмотре судебных актов о возвращении апелляционной жалобы, ссылаясь на то, что апелляционный суд не учел обоснованной невозможности подачи жалобы в установленный срок.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оценил обоснование несвоевременной подачи жалобы и не признал его создающим объективную причину пропуска срока. Иная оценка заявителем собственных действий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Алиеву Фаигу Исламу-оглы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