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07.12.2020, оставленным без изменения постановлением Восьмого арбитражного апелляционного суда от 19.01.2021 и постановлением Арбитражного суда Западно-Сибирского округа от 01.03.2021, исковое заявление возвращено в связи с ненадлежащими доказательствами имущественного положения истца в целях решения вопроса об отсрочке уплаты государственной пошлины. В кассационной жалобе компания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Возвращение искового заявления не препятствует восстановлению и защите прав заявителя, поэтому не подлежит пересмотру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ММК»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