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13.10.2020, оставленным без изменения постановлением Девятого арбитражного апелляционного суда от 04.12.2020 и постановлением Арбитражного суда Московского округа от 18.02.2021, первоначальный иск удовлетворен, во встречном иске отказано. В кассационной жалобе общество «Юник Кран» просит об отмене судебных актов, ссылаясь на игнорирование довода о фактическом исполнении договора, исключающем признание договора незаключенным.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возникновение у истца права на взыскание убытков в связи с поставкой товара, не соответствующего требуемым им как покупателем характеристикам. Неподписание договора как письменного документа, в котором были бы согласованы неустойка и условия ее применения, явилось основанием к отказу в удовлетворении встречного иска. Иная оценка правоотношений сторон и обстоятельств их исполнения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«Юник Кран»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