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26.06.2020, оставленным без изменения постановлением Девятого арбитражного апелляционного суда от 27.10.2020 и постановлением Арбитражного суда Московского округа от 16.02.2021, иск удовлетворен в части взыскания неосновательного обогащения и процентов. В кассационной жалобе общество «Связьстройдеталь» просит об отмене судебных актов, ссылаясь на неправильную квалификацию правоотношений сторон.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истец отказался от товара до возникновения у ответчика обязанности по его изготовлению, поэтому уплаченная за товар сумма не могла быть удержана в качестве компенсации затрат на изготовление и подлежала возврату по правилу статьи 1102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«Связьстройдеталь»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